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9A" w:rsidRDefault="001D419A" w:rsidP="001D419A">
      <w:pPr>
        <w:pStyle w:val="a3"/>
        <w:shd w:val="clear" w:color="auto" w:fill="FFFFFF"/>
        <w:spacing w:after="0" w:line="240" w:lineRule="auto"/>
        <w:ind w:right="424"/>
        <w:jc w:val="center"/>
        <w:rPr>
          <w:rFonts w:ascii="Bookman Old Style" w:hAnsi="Bookman Old Style" w:cs="Times New Roman"/>
          <w:color w:val="323E4F" w:themeColor="text2" w:themeShade="BF"/>
          <w:sz w:val="32"/>
          <w:szCs w:val="32"/>
        </w:rPr>
      </w:pPr>
    </w:p>
    <w:p w:rsidR="001D419A" w:rsidRPr="001D419A" w:rsidRDefault="001D419A" w:rsidP="001D419A">
      <w:pPr>
        <w:pStyle w:val="a3"/>
        <w:shd w:val="clear" w:color="auto" w:fill="FFFFFF"/>
        <w:spacing w:after="0" w:line="240" w:lineRule="auto"/>
        <w:ind w:right="424"/>
        <w:jc w:val="center"/>
        <w:rPr>
          <w:color w:val="323E4F" w:themeColor="text2" w:themeShade="BF"/>
          <w:sz w:val="32"/>
          <w:szCs w:val="32"/>
        </w:rPr>
      </w:pPr>
      <w:bookmarkStart w:id="0" w:name="_GoBack"/>
      <w:bookmarkEnd w:id="0"/>
      <w:r w:rsidRPr="001D419A">
        <w:rPr>
          <w:rFonts w:ascii="Bookman Old Style" w:hAnsi="Bookman Old Style" w:cs="Times New Roman"/>
          <w:color w:val="323E4F" w:themeColor="text2" w:themeShade="BF"/>
          <w:sz w:val="32"/>
          <w:szCs w:val="32"/>
        </w:rPr>
        <w:t>Памятка для родителей</w:t>
      </w:r>
    </w:p>
    <w:p w:rsidR="001D419A" w:rsidRPr="001D419A" w:rsidRDefault="001D419A" w:rsidP="001D419A">
      <w:pPr>
        <w:pStyle w:val="a3"/>
        <w:shd w:val="clear" w:color="auto" w:fill="FFFFFF"/>
        <w:spacing w:after="0" w:line="240" w:lineRule="auto"/>
        <w:ind w:right="424"/>
        <w:jc w:val="center"/>
        <w:rPr>
          <w:color w:val="323E4F" w:themeColor="text2" w:themeShade="BF"/>
          <w:sz w:val="40"/>
          <w:szCs w:val="40"/>
        </w:rPr>
      </w:pPr>
      <w:proofErr w:type="spellStart"/>
      <w:r w:rsidRPr="001D419A">
        <w:rPr>
          <w:rFonts w:ascii="Bookman Old Style" w:hAnsi="Bookman Old Style" w:cs="Times New Roman"/>
          <w:color w:val="323E4F" w:themeColor="text2" w:themeShade="BF"/>
          <w:sz w:val="40"/>
          <w:szCs w:val="40"/>
        </w:rPr>
        <w:t>Аддиктивное</w:t>
      </w:r>
      <w:proofErr w:type="spellEnd"/>
      <w:r w:rsidRPr="001D419A">
        <w:rPr>
          <w:rFonts w:ascii="Bookman Old Style" w:hAnsi="Bookman Old Style" w:cs="Times New Roman"/>
          <w:color w:val="323E4F" w:themeColor="text2" w:themeShade="BF"/>
          <w:sz w:val="40"/>
          <w:szCs w:val="40"/>
        </w:rPr>
        <w:t xml:space="preserve"> поведение </w:t>
      </w:r>
    </w:p>
    <w:p w:rsidR="001D419A" w:rsidRPr="001D419A" w:rsidRDefault="001D419A" w:rsidP="001D419A">
      <w:pPr>
        <w:pStyle w:val="a3"/>
        <w:shd w:val="clear" w:color="auto" w:fill="FFFFFF"/>
        <w:spacing w:after="0" w:line="240" w:lineRule="auto"/>
        <w:ind w:right="424"/>
        <w:jc w:val="center"/>
        <w:rPr>
          <w:color w:val="323E4F" w:themeColor="text2" w:themeShade="BF"/>
          <w:sz w:val="40"/>
          <w:szCs w:val="40"/>
        </w:rPr>
      </w:pPr>
      <w:r w:rsidRPr="001D419A">
        <w:rPr>
          <w:rFonts w:ascii="Bookman Old Style" w:hAnsi="Bookman Old Style" w:cs="Times New Roman"/>
          <w:color w:val="323E4F" w:themeColor="text2" w:themeShade="BF"/>
          <w:sz w:val="40"/>
          <w:szCs w:val="40"/>
        </w:rPr>
        <w:t xml:space="preserve">у детей и подростков </w:t>
      </w:r>
    </w:p>
    <w:p w:rsidR="001D419A" w:rsidRPr="001D419A" w:rsidRDefault="001D419A" w:rsidP="001D419A">
      <w:pPr>
        <w:pStyle w:val="a3"/>
        <w:shd w:val="clear" w:color="auto" w:fill="FFFFFF"/>
        <w:spacing w:after="0" w:line="240" w:lineRule="auto"/>
        <w:ind w:right="424"/>
        <w:rPr>
          <w:rFonts w:ascii="Bookman Old Style" w:hAnsi="Bookman Old Style"/>
          <w:color w:val="323E4F" w:themeColor="text2" w:themeShade="BF"/>
          <w:sz w:val="26"/>
          <w:szCs w:val="26"/>
        </w:rPr>
      </w:pP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proofErr w:type="spellStart"/>
      <w:r w:rsidRPr="001D419A">
        <w:rPr>
          <w:rFonts w:ascii="Bookman Old Style" w:hAnsi="Bookman Old Style" w:cs="Times New Roman"/>
          <w:b/>
          <w:color w:val="323E4F" w:themeColor="text2" w:themeShade="BF"/>
          <w:sz w:val="26"/>
          <w:szCs w:val="26"/>
        </w:rPr>
        <w:t>Аддиктивность</w:t>
      </w:r>
      <w:proofErr w:type="spellEnd"/>
      <w:r w:rsidRPr="001D419A">
        <w:rPr>
          <w:rFonts w:ascii="Bookman Old Style" w:hAnsi="Bookman Old Style" w:cs="Times New Roman"/>
          <w:i/>
          <w:color w:val="323E4F" w:themeColor="text2" w:themeShade="BF"/>
          <w:sz w:val="26"/>
          <w:szCs w:val="26"/>
        </w:rPr>
        <w:t> </w:t>
      </w:r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 xml:space="preserve">является следствием понимания собственной несостоятельности, хронической неудовлетворённости жизнью, неуверенности в себе. Желание ребёнка любой ценой вернуть уверенность в собственных силах, уважение окружающих приводит, к неадекватной, иногда смертельно опасной форме </w:t>
      </w:r>
      <w:proofErr w:type="spellStart"/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>аддиктивного</w:t>
      </w:r>
      <w:proofErr w:type="spellEnd"/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 xml:space="preserve"> поведения.</w:t>
      </w:r>
      <w:r w:rsidRPr="001D419A">
        <w:rPr>
          <w:rFonts w:ascii="Bookman Old Style" w:hAnsi="Bookman Old Style" w:cs="Times New Roman"/>
          <w:i/>
          <w:color w:val="323E4F" w:themeColor="text2" w:themeShade="BF"/>
          <w:sz w:val="26"/>
          <w:szCs w:val="26"/>
        </w:rPr>
        <w:t xml:space="preserve"> 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proofErr w:type="spellStart"/>
      <w:r w:rsidRPr="001D419A">
        <w:rPr>
          <w:rFonts w:ascii="Bookman Old Style" w:hAnsi="Bookman Old Style" w:cs="Times New Roman"/>
          <w:b/>
          <w:bCs/>
          <w:i/>
          <w:iCs/>
          <w:color w:val="323E4F" w:themeColor="text2" w:themeShade="BF"/>
          <w:sz w:val="26"/>
          <w:szCs w:val="26"/>
        </w:rPr>
        <w:t>Адд</w:t>
      </w:r>
      <w:r w:rsidRPr="001D419A">
        <w:rPr>
          <w:rFonts w:ascii="Bookman Old Style" w:hAnsi="Bookman Old Style" w:cs="Times New Roman"/>
          <w:b/>
          <w:bCs/>
          <w:i/>
          <w:color w:val="323E4F" w:themeColor="text2" w:themeShade="BF"/>
          <w:sz w:val="26"/>
          <w:szCs w:val="26"/>
        </w:rPr>
        <w:t>иктивное</w:t>
      </w:r>
      <w:proofErr w:type="spellEnd"/>
      <w:r w:rsidRPr="001D419A">
        <w:rPr>
          <w:rFonts w:ascii="Bookman Old Style" w:hAnsi="Bookman Old Style" w:cs="Times New Roman"/>
          <w:b/>
          <w:bCs/>
          <w:i/>
          <w:color w:val="323E4F" w:themeColor="text2" w:themeShade="BF"/>
          <w:sz w:val="26"/>
          <w:szCs w:val="26"/>
        </w:rPr>
        <w:t xml:space="preserve"> поведение как вид </w:t>
      </w:r>
      <w:proofErr w:type="spellStart"/>
      <w:r w:rsidRPr="001D419A">
        <w:rPr>
          <w:rFonts w:ascii="Bookman Old Style" w:hAnsi="Bookman Old Style" w:cs="Times New Roman"/>
          <w:b/>
          <w:bCs/>
          <w:i/>
          <w:color w:val="323E4F" w:themeColor="text2" w:themeShade="BF"/>
          <w:sz w:val="26"/>
          <w:szCs w:val="26"/>
        </w:rPr>
        <w:t>девиантного</w:t>
      </w:r>
      <w:proofErr w:type="spellEnd"/>
      <w:r w:rsidRPr="001D419A">
        <w:rPr>
          <w:rFonts w:ascii="Bookman Old Style" w:hAnsi="Bookman Old Style" w:cs="Times New Roman"/>
          <w:b/>
          <w:bCs/>
          <w:i/>
          <w:color w:val="323E4F" w:themeColor="text2" w:themeShade="BF"/>
          <w:sz w:val="26"/>
          <w:szCs w:val="26"/>
        </w:rPr>
        <w:t xml:space="preserve"> поведения личности имеет несколько форм:</w:t>
      </w:r>
    </w:p>
    <w:p w:rsidR="001D419A" w:rsidRPr="001D419A" w:rsidRDefault="001D419A" w:rsidP="001D419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>- химическая зависимость (курение, токсикомания, наркозависимость, алкогольная зависимость);</w:t>
      </w:r>
    </w:p>
    <w:p w:rsidR="001D419A" w:rsidRPr="001D419A" w:rsidRDefault="001D419A" w:rsidP="001D419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>- нарушение пищевого поведения (переедание, голодание, отказ от еды);</w:t>
      </w:r>
    </w:p>
    <w:p w:rsidR="001D419A" w:rsidRPr="001D419A" w:rsidRDefault="001D419A" w:rsidP="001D419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 xml:space="preserve">- </w:t>
      </w:r>
      <w:proofErr w:type="spellStart"/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>гэмблинг</w:t>
      </w:r>
      <w:proofErr w:type="spellEnd"/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 xml:space="preserve"> - игровая зависимость (компьютерная зависимость, азартные игры);</w:t>
      </w:r>
    </w:p>
    <w:p w:rsidR="001D419A" w:rsidRPr="001D419A" w:rsidRDefault="001D419A" w:rsidP="001D419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>- религиозно-деструктивное поведение (религиозный фанатизм, вовлеченность в секту).</w:t>
      </w:r>
    </w:p>
    <w:p w:rsidR="001D419A" w:rsidRPr="001D419A" w:rsidRDefault="001D419A" w:rsidP="001D419A">
      <w:pPr>
        <w:shd w:val="clear" w:color="auto" w:fill="FFFFFF"/>
        <w:spacing w:line="288" w:lineRule="auto"/>
        <w:ind w:right="424"/>
        <w:jc w:val="center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b/>
          <w:color w:val="323E4F" w:themeColor="text2" w:themeShade="BF"/>
          <w:sz w:val="26"/>
          <w:szCs w:val="26"/>
        </w:rPr>
        <w:t xml:space="preserve">Причины </w:t>
      </w:r>
      <w:proofErr w:type="spellStart"/>
      <w:r w:rsidRPr="001D419A">
        <w:rPr>
          <w:rFonts w:ascii="Bookman Old Style" w:hAnsi="Bookman Old Style"/>
          <w:b/>
          <w:color w:val="323E4F" w:themeColor="text2" w:themeShade="BF"/>
          <w:sz w:val="26"/>
          <w:szCs w:val="26"/>
        </w:rPr>
        <w:t>аддиктивного</w:t>
      </w:r>
      <w:proofErr w:type="spellEnd"/>
      <w:r w:rsidRPr="001D419A">
        <w:rPr>
          <w:rFonts w:ascii="Bookman Old Style" w:hAnsi="Bookman Old Style"/>
          <w:b/>
          <w:color w:val="323E4F" w:themeColor="text2" w:themeShade="BF"/>
          <w:sz w:val="26"/>
          <w:szCs w:val="26"/>
        </w:rPr>
        <w:t xml:space="preserve"> поведения</w:t>
      </w:r>
    </w:p>
    <w:p w:rsidR="001D419A" w:rsidRPr="001D419A" w:rsidRDefault="001D419A" w:rsidP="001D419A">
      <w:pPr>
        <w:shd w:val="clear" w:color="auto" w:fill="FFFFFF"/>
        <w:spacing w:line="288" w:lineRule="auto"/>
        <w:ind w:right="424"/>
        <w:rPr>
          <w:rFonts w:ascii="Bookman Old Style" w:hAnsi="Bookman Old Style"/>
          <w:color w:val="323E4F" w:themeColor="text2" w:themeShade="BF"/>
          <w:sz w:val="26"/>
          <w:szCs w:val="26"/>
        </w:rPr>
      </w:pP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i/>
          <w:color w:val="323E4F" w:themeColor="text2" w:themeShade="BF"/>
          <w:sz w:val="26"/>
          <w:szCs w:val="26"/>
        </w:rPr>
        <w:t>Чаще психическая зависимость проявляется: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 xml:space="preserve">- у незрелой личности, склонной искать защиту, поддержку, неспособной принимать состоятельно обдуманные и рациональные решения, имеющей повышенную внушаемость и </w:t>
      </w:r>
      <w:proofErr w:type="gramStart"/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>пр.,-</w:t>
      </w:r>
      <w:proofErr w:type="gramEnd"/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 xml:space="preserve"> при наличии конституциональных, органических особенностей личности (черепно-родовая травма, акцентуации характера, наследственная предрасположенность и пр.),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 xml:space="preserve">- при специфическом характере выполняемой деятельности (нервные перегрузки, служебные и творческие неудачи, неудовлетворенность личной жизнью, отсутствие условий реализации жизненно важных целей, социально-экономическая </w:t>
      </w:r>
      <w:proofErr w:type="spellStart"/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>невостребованность</w:t>
      </w:r>
      <w:proofErr w:type="spellEnd"/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 xml:space="preserve"> семьи приводит к личной несостоятельности, высокая нагрузка и неумение отдыхать, эмоциональное выгорание, астенические состояния и пр.),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lastRenderedPageBreak/>
        <w:t>- большое количество свободного времени, не знание себя и своих интересов.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>- стремление непременно выделиться из общей массы или просто привлечь внимание окружающих (семьи, друзей, одноклассников),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>- азартность,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>- одиночество,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>- скудность эмоций, нехватка впечатлений,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/>
          <w:color w:val="323E4F" w:themeColor="text2" w:themeShade="BF"/>
          <w:sz w:val="26"/>
          <w:szCs w:val="26"/>
        </w:rPr>
        <w:t>- проблемы в семье,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>- неблагоприятное окружение (асоциальная компания, криминал, секты).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rFonts w:ascii="Bookman Old Style" w:hAnsi="Bookman Old Style"/>
          <w:color w:val="323E4F" w:themeColor="text2" w:themeShade="BF"/>
          <w:sz w:val="26"/>
          <w:szCs w:val="26"/>
        </w:rPr>
      </w:pP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jc w:val="center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 w:cs="Times New Roman"/>
          <w:b/>
          <w:bCs/>
          <w:color w:val="323E4F" w:themeColor="text2" w:themeShade="BF"/>
          <w:sz w:val="26"/>
          <w:szCs w:val="26"/>
        </w:rPr>
        <w:t>Советы родителями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jc w:val="center"/>
        <w:rPr>
          <w:rFonts w:ascii="Bookman Old Style" w:hAnsi="Bookman Old Style"/>
          <w:b/>
          <w:bCs/>
          <w:color w:val="323E4F" w:themeColor="text2" w:themeShade="BF"/>
          <w:sz w:val="26"/>
          <w:szCs w:val="26"/>
        </w:rPr>
      </w:pP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>Любите и принимайте ребенка таким, каков он есть — он уникален.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>Контролируйте свое поведение, устраните агрессивное поведение близких — ребенок подражает тому, кто рядом с ним.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>Предъявляйте посильные требования — учитывайте не свои желания и эмоции, а его возможности.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>Направляете интересы ребенка, включайте его в совместную деятельность, учите быть его самостоятельным — он не будет искать разрядки и найдет себе занятие.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>Расширяйте кругозор ребенка — с ним будет интересно другим.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>Игнорируйте легкое проявление агрессии, не фиксируйте внимание окружающих — ребенок перестает привлекать внимание таким образом.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>Установите строгий запрет на действия, причиняющие вред другим — ваша последовательность облегчит усвоение и других правил поведения.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>Играйте с ребенком, включая агрессивные действия в сюжет игры — ребенку нужна разрядка.</w:t>
      </w:r>
    </w:p>
    <w:p w:rsidR="001D419A" w:rsidRPr="001D419A" w:rsidRDefault="001D419A" w:rsidP="001D419A">
      <w:pPr>
        <w:pStyle w:val="a3"/>
        <w:shd w:val="clear" w:color="auto" w:fill="FFFFFF"/>
        <w:spacing w:after="0"/>
        <w:ind w:left="283" w:right="424" w:firstLine="283"/>
        <w:rPr>
          <w:color w:val="323E4F" w:themeColor="text2" w:themeShade="BF"/>
          <w:sz w:val="26"/>
          <w:szCs w:val="26"/>
        </w:rPr>
      </w:pPr>
      <w:r w:rsidRPr="001D419A">
        <w:rPr>
          <w:rFonts w:ascii="Bookman Old Style" w:hAnsi="Bookman Old Style" w:cs="Times New Roman"/>
          <w:color w:val="323E4F" w:themeColor="text2" w:themeShade="BF"/>
          <w:sz w:val="26"/>
          <w:szCs w:val="26"/>
        </w:rPr>
        <w:t>Уделяйте ему внимание — ребенок не станет привлекать ваше внимание неприемлемым способом.</w:t>
      </w:r>
    </w:p>
    <w:p w:rsidR="00694F20" w:rsidRDefault="00694F20"/>
    <w:sectPr w:rsidR="00694F20" w:rsidSect="001D419A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9A"/>
    <w:rsid w:val="001D419A"/>
    <w:rsid w:val="006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0378"/>
  <w15:chartTrackingRefBased/>
  <w15:docId w15:val="{64F37365-11B6-4F31-BEA9-ECD3B785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9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419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D419A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98C4-FEF9-450A-A01B-38B39116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2020-10-09T07:00:00Z</dcterms:created>
  <dcterms:modified xsi:type="dcterms:W3CDTF">2020-10-09T07:12:00Z</dcterms:modified>
</cp:coreProperties>
</file>